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22</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Development Potential Index</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developmentPotentialIndex</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Development Potential Indices (DPIs) were generated with 1-km spatially-explicit global land suitability maps, for 13 sectors related to renewable energy (concentrated solar power, photovoltaic solar, wind, hydropower), fossil fuels (coal, conventional and unconventional oil and gas), mining (metallic, non-metallic), and agriculture (crop, biofuels expansion).</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Oakleaf, J. R., Kennedy, C. M., Baruch-Mordo, S., Gerber, J. S., West, P. C., Johnson, J. A.,  Kiesecker, J. (2019). Mapping global development potential for renewable energy, fossil fuels, mining and agriculture sectors. Scientific Data, 6(1), 1–17. https://doi.org/10.1038/s41597-019-0084-8</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Biofuels Development Potential Index, Coal Development Potential Index, Conventional Gas Development Potential Index, Conventional Oil Development Potential Index, Crop Expansion Development Potential Index, Concentrated Solar Power Development Potential Index, Hydroelectric Development Potential Index, Metallic Mining Development Potential Index, Non-metallic Mining Development Potential Index, Photovoltaic Solar Power Development Potential Index, Unconventional Gas Development Potential Index, Unconventional Oil Development Potential Index, Wind Power Development Potential Index</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2016</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1km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https://s3.amazonaws.com/DevByDesign-Web/Maps/DPI_viewer/index.html</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developmentPotentialIndex.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